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1E25" w14:textId="77777777" w:rsidR="002C01A8" w:rsidRDefault="00A355B3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TableGrid"/>
        <w:tblW w:w="9348" w:type="dxa"/>
        <w:tblInd w:w="6" w:type="dxa"/>
        <w:tblCellMar>
          <w:top w:w="4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2C01A8" w14:paraId="67DA69C5" w14:textId="77777777">
        <w:trPr>
          <w:trHeight w:val="90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3015" w14:textId="77777777" w:rsidR="002C01A8" w:rsidRDefault="00A355B3">
            <w:pPr>
              <w:spacing w:after="0" w:line="259" w:lineRule="auto"/>
              <w:ind w:left="0" w:firstLine="0"/>
            </w:pPr>
            <w:r>
              <w:t xml:space="preserve">The purpose of this Decision Tree is to provide a tool to State agencies in instances where it is difficult to distinguish whether a subaward and executive compensation data meet the FFATA reporting requirements.  </w:t>
            </w:r>
          </w:p>
        </w:tc>
      </w:tr>
      <w:tr w:rsidR="002C01A8" w14:paraId="005896D4" w14:textId="77777777" w:rsidTr="007E2A10">
        <w:trPr>
          <w:trHeight w:val="274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AA18" w14:textId="77777777" w:rsidR="002C01A8" w:rsidRDefault="00A355B3">
            <w:pPr>
              <w:spacing w:after="42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6A423A66" w14:textId="05554840" w:rsidR="002C01A8" w:rsidRPr="00FB4269" w:rsidRDefault="00A355B3">
            <w:pPr>
              <w:spacing w:after="0" w:line="259" w:lineRule="auto"/>
              <w:ind w:left="0" w:firstLine="0"/>
              <w:rPr>
                <w:szCs w:val="20"/>
              </w:rPr>
            </w:pPr>
            <w:r w:rsidRPr="00FB4269">
              <w:rPr>
                <w:szCs w:val="20"/>
              </w:rPr>
              <w:t xml:space="preserve">Definitions and Guidance </w:t>
            </w:r>
            <w:r w:rsidR="004466ED" w:rsidRPr="00FB4269">
              <w:rPr>
                <w:szCs w:val="20"/>
              </w:rPr>
              <w:t>(2 CFR 200.1 Definitions &amp; 2 CFR Part 170 Appendix A)</w:t>
            </w:r>
          </w:p>
          <w:p w14:paraId="09C7598A" w14:textId="77777777" w:rsidR="002C01A8" w:rsidRDefault="00A355B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2FBC333" w14:textId="530241AF" w:rsidR="001C3E9A" w:rsidRDefault="00A355B3" w:rsidP="001C3E9A">
            <w:pPr>
              <w:spacing w:after="0" w:line="239" w:lineRule="auto"/>
              <w:ind w:left="0" w:firstLine="0"/>
            </w:pPr>
            <w:r>
              <w:t>The</w:t>
            </w:r>
            <w:r w:rsidR="003C74D5">
              <w:t xml:space="preserve"> SAM.gov website</w:t>
            </w:r>
            <w:r>
              <w:t xml:space="preserve"> is used to collect subaward and executive compensation data. </w:t>
            </w:r>
            <w:r w:rsidR="001C3E9A" w:rsidRPr="001C3E9A">
              <w:rPr>
                <w:i/>
                <w:iCs/>
              </w:rPr>
              <w:t>Subaward</w:t>
            </w:r>
            <w:r w:rsidR="00024526">
              <w:t>,</w:t>
            </w:r>
            <w:r w:rsidR="001C3E9A">
              <w:rPr>
                <w:i/>
                <w:iCs/>
              </w:rPr>
              <w:t xml:space="preserve"> </w:t>
            </w:r>
            <w:r w:rsidR="00024526">
              <w:t xml:space="preserve">for purposes of FFATA reporting, </w:t>
            </w:r>
            <w:r w:rsidR="001C3E9A" w:rsidRPr="001C3E9A">
              <w:t xml:space="preserve">means an award provided by a </w:t>
            </w:r>
            <w:r w:rsidR="00024526">
              <w:t>recipient</w:t>
            </w:r>
            <w:r w:rsidR="001C3E9A" w:rsidRPr="001C3E9A">
              <w:t xml:space="preserve"> to a subrecipient for the subrecipient to contribute to the goals and objectives of the project by carrying out part of a Federal award received by the pass-through entity. It does not include payments to a contractor, beneficiary, or participant.</w:t>
            </w:r>
          </w:p>
          <w:p w14:paraId="4CC6580A" w14:textId="77777777" w:rsidR="001C3E9A" w:rsidRDefault="001C3E9A" w:rsidP="001C3E9A">
            <w:pPr>
              <w:spacing w:after="0" w:line="239" w:lineRule="auto"/>
              <w:ind w:left="0" w:firstLine="0"/>
            </w:pPr>
          </w:p>
          <w:p w14:paraId="6E9D67DE" w14:textId="333C2D40" w:rsidR="001C3E9A" w:rsidRDefault="001C3E9A" w:rsidP="001C3E9A">
            <w:pPr>
              <w:spacing w:after="0" w:line="239" w:lineRule="auto"/>
              <w:ind w:left="0" w:firstLine="0"/>
            </w:pPr>
            <w:r w:rsidRPr="001C3E9A">
              <w:rPr>
                <w:i/>
                <w:iCs/>
              </w:rPr>
              <w:t>Recipient</w:t>
            </w:r>
            <w:r w:rsidRPr="001C3E9A">
              <w:t xml:space="preserve"> means an entity that receives a Federal award directly from a Federal agency to carry out an activity under a Federal program. The term recipient does not include subrecipients or individuals that are participants or beneficiaries of the award.</w:t>
            </w:r>
          </w:p>
          <w:p w14:paraId="1986D3D5" w14:textId="77777777" w:rsidR="00024526" w:rsidRDefault="00024526" w:rsidP="001C3E9A">
            <w:pPr>
              <w:spacing w:after="0" w:line="239" w:lineRule="auto"/>
              <w:ind w:left="0" w:firstLine="0"/>
            </w:pPr>
          </w:p>
          <w:p w14:paraId="1B659523" w14:textId="45864EFC" w:rsidR="00024526" w:rsidRDefault="00024526" w:rsidP="00024526">
            <w:pPr>
              <w:spacing w:after="0" w:line="239" w:lineRule="auto"/>
              <w:ind w:left="0" w:firstLine="0"/>
            </w:pPr>
            <w:r w:rsidRPr="00024526">
              <w:rPr>
                <w:i/>
                <w:iCs/>
              </w:rPr>
              <w:t>Subrecipient</w:t>
            </w:r>
            <w:r>
              <w:rPr>
                <w:i/>
                <w:iCs/>
              </w:rPr>
              <w:t xml:space="preserve"> </w:t>
            </w:r>
            <w:r w:rsidRPr="00024526">
              <w:t xml:space="preserve">means an entity that receives a subaward from a </w:t>
            </w:r>
            <w:r>
              <w:t>recipient</w:t>
            </w:r>
            <w:r w:rsidRPr="00024526">
              <w:t xml:space="preserve"> to carry out part of a Federal award. The term subrecipient does not include a beneficiary or participant. </w:t>
            </w:r>
          </w:p>
          <w:p w14:paraId="71C73843" w14:textId="77777777" w:rsidR="00024526" w:rsidRDefault="00024526" w:rsidP="00024526">
            <w:pPr>
              <w:spacing w:after="0" w:line="239" w:lineRule="auto"/>
              <w:ind w:left="0" w:firstLine="0"/>
            </w:pPr>
          </w:p>
          <w:p w14:paraId="0C5287C4" w14:textId="4FC017FB" w:rsidR="00024526" w:rsidRDefault="00024526" w:rsidP="00024526">
            <w:pPr>
              <w:spacing w:after="0" w:line="239" w:lineRule="auto"/>
              <w:ind w:left="0" w:firstLine="0"/>
            </w:pPr>
            <w:r>
              <w:t xml:space="preserve">FFATA reporting is for first-tier subawards. This means </w:t>
            </w:r>
            <w:r w:rsidR="004466ED">
              <w:t xml:space="preserve">the initial </w:t>
            </w:r>
            <w:r>
              <w:t xml:space="preserve">subaward made </w:t>
            </w:r>
            <w:r w:rsidR="004466ED">
              <w:t>directly from the recipient to the subrecipient, not subawards passed through multiple layers.</w:t>
            </w:r>
          </w:p>
          <w:p w14:paraId="39BF6F90" w14:textId="77777777" w:rsidR="001C3E9A" w:rsidRDefault="001C3E9A">
            <w:pPr>
              <w:spacing w:after="0" w:line="239" w:lineRule="auto"/>
              <w:ind w:left="0" w:firstLine="0"/>
            </w:pPr>
          </w:p>
          <w:p w14:paraId="2A6600E8" w14:textId="77777777" w:rsidR="00FD7C62" w:rsidRPr="00FD7C62" w:rsidRDefault="00FD7C62" w:rsidP="00FD7C62">
            <w:pPr>
              <w:spacing w:after="0" w:line="259" w:lineRule="auto"/>
              <w:rPr>
                <w:b/>
                <w:bCs/>
              </w:rPr>
            </w:pPr>
            <w:r w:rsidRPr="00FD7C62">
              <w:rPr>
                <w:b/>
                <w:bCs/>
              </w:rPr>
              <w:t>§ 200.331 Subrecipient and contractor determinations.</w:t>
            </w:r>
          </w:p>
          <w:p w14:paraId="4C561B77" w14:textId="77777777" w:rsidR="00FD7C62" w:rsidRDefault="00FD7C62" w:rsidP="00FD7C62">
            <w:pPr>
              <w:spacing w:after="0" w:line="259" w:lineRule="auto"/>
            </w:pPr>
            <w:r w:rsidRPr="00FD7C62">
              <w:t>An entity may concurrently receive Federal awards as a recipient, a subrecipient, and a contractor. Th</w:t>
            </w:r>
            <w:r>
              <w:t>e</w:t>
            </w:r>
          </w:p>
          <w:p w14:paraId="30630184" w14:textId="77777777" w:rsidR="00FD7C62" w:rsidRDefault="00FD7C62" w:rsidP="00FD7C62">
            <w:pPr>
              <w:spacing w:after="0" w:line="259" w:lineRule="auto"/>
            </w:pPr>
            <w:r w:rsidRPr="00FD7C62">
              <w:t>pass-through entity is responsible for making case-by-case determinations to determine whether the</w:t>
            </w:r>
          </w:p>
          <w:p w14:paraId="42D3B4B3" w14:textId="77777777" w:rsidR="00FD7C62" w:rsidRDefault="00FD7C62" w:rsidP="00FD7C62">
            <w:pPr>
              <w:spacing w:after="0" w:line="259" w:lineRule="auto"/>
            </w:pPr>
            <w:r w:rsidRPr="00FD7C62">
              <w:t>entity receiving Federal funds is a subrecipient or a contractor. The Federal agency may require the</w:t>
            </w:r>
          </w:p>
          <w:p w14:paraId="6C362694" w14:textId="77777777" w:rsidR="00FD7C62" w:rsidRDefault="00FD7C62" w:rsidP="00FD7C62">
            <w:pPr>
              <w:spacing w:after="0" w:line="259" w:lineRule="auto"/>
            </w:pPr>
            <w:r w:rsidRPr="00FD7C62">
              <w:t xml:space="preserve">pass-through entity to comply with additional guidance to make these determinations, provided such </w:t>
            </w:r>
          </w:p>
          <w:p w14:paraId="75A45F9A" w14:textId="77777777" w:rsidR="00FD7C62" w:rsidRDefault="00FD7C62" w:rsidP="00FD7C62">
            <w:pPr>
              <w:spacing w:after="0" w:line="259" w:lineRule="auto"/>
            </w:pPr>
            <w:r w:rsidRPr="00FD7C62">
              <w:t xml:space="preserve">guidance does not conflict with this section. The Federal agency does not have a direct legal </w:t>
            </w:r>
          </w:p>
          <w:p w14:paraId="6B575E8D" w14:textId="77777777" w:rsidR="00FD7C62" w:rsidRDefault="00FD7C62" w:rsidP="00FD7C62">
            <w:pPr>
              <w:spacing w:after="0" w:line="259" w:lineRule="auto"/>
            </w:pPr>
            <w:r w:rsidRPr="00FD7C62">
              <w:t xml:space="preserve">relationship with subrecipients or contractors of any tier; however, the Federal agency is responsible for </w:t>
            </w:r>
          </w:p>
          <w:p w14:paraId="6CA24961" w14:textId="77777777" w:rsidR="00FD7C62" w:rsidRDefault="00FD7C62" w:rsidP="00FD7C62">
            <w:pPr>
              <w:spacing w:after="0" w:line="259" w:lineRule="auto"/>
            </w:pPr>
            <w:r w:rsidRPr="00FD7C62">
              <w:t xml:space="preserve">monitoring the pass-through entity's oversight of first-tier subrecipients. All of the characteristics listed </w:t>
            </w:r>
          </w:p>
          <w:p w14:paraId="1CCD767D" w14:textId="77777777" w:rsidR="00FD7C62" w:rsidRDefault="00FD7C62" w:rsidP="00FD7C62">
            <w:pPr>
              <w:spacing w:after="0" w:line="259" w:lineRule="auto"/>
            </w:pPr>
            <w:r w:rsidRPr="00FD7C62">
              <w:t xml:space="preserve">below may not be present in all cases, and some characteristics from both categories may be present </w:t>
            </w:r>
          </w:p>
          <w:p w14:paraId="77889032" w14:textId="77777777" w:rsidR="00FD7C62" w:rsidRDefault="00FD7C62" w:rsidP="00FD7C62">
            <w:pPr>
              <w:spacing w:after="0" w:line="259" w:lineRule="auto"/>
            </w:pPr>
            <w:r w:rsidRPr="00FD7C62">
              <w:t>at the same time. No single factor or any combination of factors is necessarily determinative. The pass-</w:t>
            </w:r>
          </w:p>
          <w:p w14:paraId="1534C714" w14:textId="77777777" w:rsidR="00FD7C62" w:rsidRDefault="00FD7C62" w:rsidP="00FD7C62">
            <w:pPr>
              <w:spacing w:after="0" w:line="259" w:lineRule="auto"/>
            </w:pPr>
            <w:r w:rsidRPr="00FD7C62">
              <w:t xml:space="preserve">through entity must use judgment in classifying each agreement as a subaward or a procurement </w:t>
            </w:r>
          </w:p>
          <w:p w14:paraId="5C1CC2C1" w14:textId="77777777" w:rsidR="00FD7C62" w:rsidRDefault="00FD7C62" w:rsidP="00FD7C62">
            <w:pPr>
              <w:spacing w:after="0" w:line="259" w:lineRule="auto"/>
            </w:pPr>
            <w:r w:rsidRPr="00FD7C62">
              <w:t xml:space="preserve">contract. In making this determination, the substance of the relationship is more important than the form </w:t>
            </w:r>
          </w:p>
          <w:p w14:paraId="263D84DF" w14:textId="24C6078F" w:rsidR="00FD7C62" w:rsidRDefault="00FD7C62" w:rsidP="00FD7C62">
            <w:pPr>
              <w:spacing w:after="0" w:line="259" w:lineRule="auto"/>
            </w:pPr>
            <w:r w:rsidRPr="00FD7C62">
              <w:t>of the agreement.</w:t>
            </w:r>
          </w:p>
          <w:p w14:paraId="77EEAADF" w14:textId="77777777" w:rsidR="00FD7C62" w:rsidRPr="00FD7C62" w:rsidRDefault="00FD7C62" w:rsidP="00FD7C62">
            <w:pPr>
              <w:spacing w:after="0" w:line="259" w:lineRule="auto"/>
            </w:pPr>
          </w:p>
          <w:p w14:paraId="580B6213" w14:textId="47BE452C" w:rsidR="00FF09A3" w:rsidRDefault="00FD7C62" w:rsidP="00FF09A3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 w:rsidRPr="00FF09A3">
              <w:rPr>
                <w:b/>
                <w:bCs/>
                <w:i/>
                <w:iCs/>
              </w:rPr>
              <w:t>Subrecipients.</w:t>
            </w:r>
            <w:r w:rsidRPr="00FD7C62">
              <w:t xml:space="preserve"> A subaward is for the purpose of carrying out a portion of the Federal award and </w:t>
            </w:r>
          </w:p>
          <w:p w14:paraId="211F2885" w14:textId="653FB4E3" w:rsidR="00FD7C62" w:rsidRDefault="00FD7C62" w:rsidP="00FF09A3">
            <w:pPr>
              <w:pStyle w:val="ListParagraph"/>
              <w:spacing w:after="0" w:line="259" w:lineRule="auto"/>
              <w:ind w:left="380" w:firstLine="0"/>
            </w:pPr>
            <w:r w:rsidRPr="00FD7C62">
              <w:t xml:space="preserve">creates a Federal financial assistance relationship with a subrecipient. See the definition of </w:t>
            </w:r>
            <w:r w:rsidRPr="00FF09A3">
              <w:rPr>
                <w:i/>
                <w:iCs/>
              </w:rPr>
              <w:t>Subaward</w:t>
            </w:r>
            <w:r w:rsidRPr="00FD7C62">
              <w:t xml:space="preserve"> in </w:t>
            </w:r>
            <w:hyperlink r:id="rId7" w:history="1">
              <w:r w:rsidRPr="00FD7C62">
                <w:rPr>
                  <w:rStyle w:val="Hyperlink"/>
                </w:rPr>
                <w:t>§ 200.1</w:t>
              </w:r>
            </w:hyperlink>
            <w:r w:rsidRPr="00FD7C62">
              <w:t>. Characteristics that support the classification of the entity as a subrecipient include, but are not limited to, when the entity:</w:t>
            </w:r>
          </w:p>
          <w:p w14:paraId="2DA86F4E" w14:textId="77777777" w:rsidR="00FF09A3" w:rsidRPr="00FD7C62" w:rsidRDefault="00FF09A3" w:rsidP="00FF09A3">
            <w:pPr>
              <w:pStyle w:val="ListParagraph"/>
              <w:spacing w:after="0" w:line="259" w:lineRule="auto"/>
              <w:ind w:left="380" w:firstLine="0"/>
            </w:pPr>
          </w:p>
          <w:p w14:paraId="4362310F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(1) Determines who is eligible to receive what Federal assistance;</w:t>
            </w:r>
          </w:p>
          <w:p w14:paraId="2900F5E0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(2) Has its performance measured in relation to whether the objectives of a Federal program were met;</w:t>
            </w:r>
          </w:p>
          <w:p w14:paraId="24E55BA8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(3) Has responsibility for programmatic decision-making;</w:t>
            </w:r>
          </w:p>
          <w:p w14:paraId="18D1B9DF" w14:textId="77777777" w:rsidR="00FF09A3" w:rsidRDefault="00FD7C62" w:rsidP="00FD7C62">
            <w:pPr>
              <w:spacing w:after="0" w:line="259" w:lineRule="auto"/>
            </w:pPr>
            <w:r w:rsidRPr="00FD7C62">
              <w:t xml:space="preserve">(4) Is responsible for adherence to applicable Federal program requirements specified in the Federal </w:t>
            </w:r>
          </w:p>
          <w:p w14:paraId="0DFA083D" w14:textId="31C2CA25" w:rsidR="00FD7C62" w:rsidRPr="00FD7C62" w:rsidRDefault="00FD7C62" w:rsidP="00FD7C62">
            <w:pPr>
              <w:spacing w:after="0" w:line="259" w:lineRule="auto"/>
            </w:pPr>
            <w:r w:rsidRPr="00FD7C62">
              <w:t>award; and</w:t>
            </w:r>
          </w:p>
          <w:p w14:paraId="2E2621FA" w14:textId="77777777" w:rsidR="00FF09A3" w:rsidRDefault="00FD7C62" w:rsidP="00FD7C62">
            <w:pPr>
              <w:spacing w:after="0" w:line="259" w:lineRule="auto"/>
            </w:pPr>
            <w:r w:rsidRPr="00FD7C62">
              <w:t xml:space="preserve">(5) Implements a program for a public purpose specified in authorizing statute, as opposed to providing </w:t>
            </w:r>
          </w:p>
          <w:p w14:paraId="4C1AB538" w14:textId="40D45DFA" w:rsidR="00FD7C62" w:rsidRDefault="00FD7C62" w:rsidP="00FD7C62">
            <w:pPr>
              <w:spacing w:after="0" w:line="259" w:lineRule="auto"/>
            </w:pPr>
            <w:r w:rsidRPr="00FD7C62">
              <w:t>goods or services for the benefit of the pass-through entity.</w:t>
            </w:r>
          </w:p>
          <w:p w14:paraId="754F616D" w14:textId="77777777" w:rsidR="00FF09A3" w:rsidRPr="00FD7C62" w:rsidRDefault="00FF09A3" w:rsidP="00FD7C62">
            <w:pPr>
              <w:spacing w:after="0" w:line="259" w:lineRule="auto"/>
            </w:pPr>
          </w:p>
          <w:p w14:paraId="631FA2B4" w14:textId="4FB1B4F3" w:rsidR="00FF09A3" w:rsidRDefault="00FD7C62" w:rsidP="00FF09A3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 w:rsidRPr="00FF09A3">
              <w:rPr>
                <w:b/>
                <w:bCs/>
                <w:i/>
                <w:iCs/>
              </w:rPr>
              <w:lastRenderedPageBreak/>
              <w:t>Contractors.</w:t>
            </w:r>
            <w:r w:rsidRPr="00FD7C62">
              <w:t xml:space="preserve"> A contract is for the purpose of obtaining goods and services for the recipient's or </w:t>
            </w:r>
          </w:p>
          <w:p w14:paraId="37A713DD" w14:textId="01598A6A" w:rsidR="00FD7C62" w:rsidRDefault="00FD7C62" w:rsidP="00FF09A3">
            <w:pPr>
              <w:pStyle w:val="ListParagraph"/>
              <w:spacing w:after="0" w:line="259" w:lineRule="auto"/>
              <w:ind w:left="380" w:firstLine="0"/>
            </w:pPr>
            <w:r w:rsidRPr="00FD7C62">
              <w:t xml:space="preserve">subrecipient's use and creates a procurement relationship with a contractor. See the definition of </w:t>
            </w:r>
            <w:r w:rsidRPr="00FF09A3">
              <w:rPr>
                <w:i/>
                <w:iCs/>
              </w:rPr>
              <w:t>contract</w:t>
            </w:r>
            <w:r w:rsidRPr="00FD7C62">
              <w:t xml:space="preserve"> in </w:t>
            </w:r>
            <w:hyperlink r:id="rId8" w:history="1">
              <w:r w:rsidRPr="00FD7C62">
                <w:rPr>
                  <w:rStyle w:val="Hyperlink"/>
                </w:rPr>
                <w:t>§ 200.1</w:t>
              </w:r>
            </w:hyperlink>
            <w:r w:rsidRPr="00FD7C62">
              <w:t>. Characteristics that support a procurement relationship between the recipient or subrecipient and a contractor include, but are not limited to, when the contractor:</w:t>
            </w:r>
          </w:p>
          <w:p w14:paraId="35D5F085" w14:textId="77777777" w:rsidR="00FF09A3" w:rsidRPr="00FD7C62" w:rsidRDefault="00FF09A3" w:rsidP="00FF09A3">
            <w:pPr>
              <w:pStyle w:val="ListParagraph"/>
              <w:spacing w:after="0" w:line="259" w:lineRule="auto"/>
              <w:ind w:left="380" w:firstLine="0"/>
            </w:pPr>
          </w:p>
          <w:p w14:paraId="1FB1DC0E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(1) Provides the goods and services within normal business operations;</w:t>
            </w:r>
          </w:p>
          <w:p w14:paraId="0553C59A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(2) Provides similar goods or services to many different purchasers;</w:t>
            </w:r>
          </w:p>
          <w:p w14:paraId="79D0677A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(3) Normally operates in a competitive environment;</w:t>
            </w:r>
          </w:p>
          <w:p w14:paraId="4B1EBEE9" w14:textId="77777777" w:rsidR="00FD7C62" w:rsidRPr="00FD7C62" w:rsidRDefault="00FD7C62" w:rsidP="00FD7C62">
            <w:pPr>
              <w:spacing w:after="0" w:line="259" w:lineRule="auto"/>
            </w:pPr>
            <w:r w:rsidRPr="00FD7C62">
              <w:t>(4) Provides goods or services that are ancillary to the implementation of a Federal program; and</w:t>
            </w:r>
          </w:p>
          <w:p w14:paraId="1A846BD4" w14:textId="77777777" w:rsidR="00FF09A3" w:rsidRDefault="00FD7C62" w:rsidP="00FD7C62">
            <w:pPr>
              <w:spacing w:after="0" w:line="259" w:lineRule="auto"/>
            </w:pPr>
            <w:r w:rsidRPr="00FD7C62">
              <w:t xml:space="preserve">(5) Is not subject to compliance requirements of a Federal program as a result of the agreement. </w:t>
            </w:r>
          </w:p>
          <w:p w14:paraId="5C8247A9" w14:textId="77777777" w:rsidR="002C01A8" w:rsidRDefault="00FD7C62" w:rsidP="00FF09A3">
            <w:pPr>
              <w:spacing w:after="0" w:line="259" w:lineRule="auto"/>
            </w:pPr>
            <w:r w:rsidRPr="00FD7C62">
              <w:t>However, similar requirements may apply for other reasons.</w:t>
            </w:r>
          </w:p>
          <w:p w14:paraId="1475A571" w14:textId="21306123" w:rsidR="00FF09A3" w:rsidRDefault="00FF09A3" w:rsidP="00FF09A3">
            <w:pPr>
              <w:spacing w:after="0" w:line="259" w:lineRule="auto"/>
            </w:pPr>
          </w:p>
        </w:tc>
      </w:tr>
      <w:tr w:rsidR="002C01A8" w14:paraId="3A0A3FEB" w14:textId="77777777">
        <w:trPr>
          <w:trHeight w:val="35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1320E" w14:textId="57F446B3" w:rsidR="002C01A8" w:rsidRDefault="00A355B3" w:rsidP="007E2A1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lastRenderedPageBreak/>
              <w:t>Reporting Subawards</w:t>
            </w:r>
          </w:p>
        </w:tc>
      </w:tr>
      <w:tr w:rsidR="002C01A8" w14:paraId="14F73F5C" w14:textId="77777777">
        <w:trPr>
          <w:trHeight w:val="931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FC61" w14:textId="43DE8631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Is </w:t>
            </w:r>
            <w:r w:rsidRPr="00FB4269">
              <w:t>the su</w:t>
            </w:r>
            <w:r w:rsidR="00FF09A3" w:rsidRPr="00FB4269">
              <w:t>baward</w:t>
            </w:r>
            <w:r>
              <w:t xml:space="preserve"> greater than or equal to $30,000 or does the amount increase a previous initial award to an amount greater than or equal to $30,000?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DF31" w14:textId="77777777" w:rsidR="002C01A8" w:rsidRDefault="00A355B3">
            <w:pPr>
              <w:spacing w:after="0" w:line="259" w:lineRule="auto"/>
              <w:ind w:left="0" w:right="46" w:firstLine="0"/>
              <w:jc w:val="center"/>
            </w:pPr>
            <w:r>
              <w:t xml:space="preserve">If no, then FFATA reporting is </w:t>
            </w:r>
            <w:r>
              <w:rPr>
                <w:b/>
                <w:u w:val="single" w:color="000000"/>
              </w:rPr>
              <w:t>not</w:t>
            </w:r>
            <w:r>
              <w:t xml:space="preserve"> required. </w:t>
            </w:r>
          </w:p>
        </w:tc>
      </w:tr>
      <w:tr w:rsidR="002C01A8" w14:paraId="2D778075" w14:textId="77777777">
        <w:trPr>
          <w:trHeight w:val="70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56C1" w14:textId="77777777" w:rsidR="002C01A8" w:rsidRDefault="00A355B3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17B1C01" w14:textId="77777777" w:rsidR="002C01A8" w:rsidRDefault="00A355B3">
            <w:pPr>
              <w:spacing w:after="0" w:line="259" w:lineRule="auto"/>
              <w:ind w:left="0" w:right="49" w:firstLine="0"/>
              <w:jc w:val="center"/>
            </w:pPr>
            <w:r>
              <w:t xml:space="preserve">If yes, then </w:t>
            </w:r>
          </w:p>
          <w:p w14:paraId="4AEE2FCC" w14:textId="77777777" w:rsidR="002C01A8" w:rsidRDefault="00A355B3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925B" w14:textId="77777777" w:rsidR="002C01A8" w:rsidRDefault="00A355B3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2C01A8" w14:paraId="7BE7A0BC" w14:textId="77777777">
        <w:trPr>
          <w:trHeight w:val="93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C259" w14:textId="77777777" w:rsidR="002C01A8" w:rsidRDefault="00A355B3">
            <w:pPr>
              <w:spacing w:after="0" w:line="259" w:lineRule="auto"/>
              <w:ind w:left="0" w:right="53" w:firstLine="0"/>
              <w:jc w:val="center"/>
            </w:pPr>
            <w:r>
              <w:t xml:space="preserve">Is the subaward provided to an individual person </w:t>
            </w:r>
          </w:p>
          <w:p w14:paraId="5F37B2DC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(i.e. unrelated to any business or nonprofit organization he or she may own or operate in his or her name)?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CA7" w14:textId="77777777" w:rsidR="002C01A8" w:rsidRDefault="00A355B3">
            <w:pPr>
              <w:spacing w:after="0" w:line="259" w:lineRule="auto"/>
              <w:ind w:left="0" w:right="47" w:firstLine="0"/>
              <w:jc w:val="center"/>
            </w:pPr>
            <w:r>
              <w:t xml:space="preserve">If yes, then FFATA reporting is </w:t>
            </w:r>
            <w:r>
              <w:rPr>
                <w:b/>
                <w:u w:val="single" w:color="000000"/>
              </w:rPr>
              <w:t>not</w:t>
            </w:r>
            <w:r>
              <w:t xml:space="preserve"> required. </w:t>
            </w:r>
          </w:p>
        </w:tc>
      </w:tr>
      <w:tr w:rsidR="002C01A8" w14:paraId="08176235" w14:textId="77777777">
        <w:trPr>
          <w:trHeight w:val="70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60F" w14:textId="77777777" w:rsidR="002C01A8" w:rsidRDefault="00A355B3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EA2675F" w14:textId="77777777" w:rsidR="002C01A8" w:rsidRDefault="00A355B3">
            <w:pPr>
              <w:spacing w:after="0" w:line="259" w:lineRule="auto"/>
              <w:ind w:left="0" w:right="49" w:firstLine="0"/>
              <w:jc w:val="center"/>
            </w:pPr>
            <w:r>
              <w:t xml:space="preserve">If no, then </w:t>
            </w:r>
          </w:p>
          <w:p w14:paraId="77646AA5" w14:textId="77777777" w:rsidR="002C01A8" w:rsidRDefault="00A355B3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4030" w14:textId="77777777" w:rsidR="002C01A8" w:rsidRDefault="00A355B3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2C01A8" w14:paraId="022E0A0A" w14:textId="77777777">
        <w:trPr>
          <w:trHeight w:val="541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CE5" w14:textId="4B133B56" w:rsidR="002C01A8" w:rsidRDefault="00A355B3">
            <w:pPr>
              <w:spacing w:after="0" w:line="259" w:lineRule="auto"/>
              <w:ind w:left="27" w:right="22" w:firstLine="0"/>
              <w:jc w:val="center"/>
            </w:pPr>
            <w:r>
              <w:t xml:space="preserve">The subaward </w:t>
            </w:r>
            <w:r w:rsidRPr="00FB4269">
              <w:t xml:space="preserve">obligation is required to be reported on </w:t>
            </w:r>
            <w:r w:rsidR="00FF09A3" w:rsidRPr="00FB4269">
              <w:t>SAM.gov</w:t>
            </w:r>
            <w:r w:rsidRPr="00FB4269">
              <w:t>.</w:t>
            </w:r>
            <w: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A52A" w14:textId="77777777" w:rsidR="002C01A8" w:rsidRDefault="00A355B3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</w:tbl>
    <w:p w14:paraId="3B43C393" w14:textId="77777777" w:rsidR="002C01A8" w:rsidRDefault="00A355B3">
      <w:pPr>
        <w:spacing w:after="214" w:line="259" w:lineRule="auto"/>
        <w:ind w:left="77" w:firstLine="0"/>
        <w:jc w:val="center"/>
      </w:pPr>
      <w:r>
        <w:t xml:space="preserve"> </w:t>
      </w:r>
    </w:p>
    <w:p w14:paraId="31B2C31C" w14:textId="77777777" w:rsidR="002C01A8" w:rsidRDefault="00A355B3">
      <w:pPr>
        <w:ind w:left="5" w:firstLine="0"/>
      </w:pPr>
      <w:r>
        <w:t xml:space="preserve">Please contact the Office of the State Controller/Internal Audit Division if you are still unsure of whether to </w:t>
      </w:r>
    </w:p>
    <w:p w14:paraId="31F3D872" w14:textId="77777777" w:rsidR="002C01A8" w:rsidRDefault="00A355B3">
      <w:pPr>
        <w:tabs>
          <w:tab w:val="center" w:pos="4680"/>
          <w:tab w:val="center" w:pos="959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report a subaward (obligation).  207-626-8420 </w:t>
      </w:r>
      <w:r>
        <w:tab/>
        <w:t xml:space="preserve"> </w:t>
      </w:r>
    </w:p>
    <w:tbl>
      <w:tblPr>
        <w:tblStyle w:val="TableGrid"/>
        <w:tblW w:w="9348" w:type="dxa"/>
        <w:tblInd w:w="6" w:type="dxa"/>
        <w:tblCellMar>
          <w:top w:w="47" w:type="dxa"/>
          <w:left w:w="112" w:type="dxa"/>
          <w:right w:w="57" w:type="dxa"/>
        </w:tblCellMar>
        <w:tblLook w:val="04A0" w:firstRow="1" w:lastRow="0" w:firstColumn="1" w:lastColumn="0" w:noHBand="0" w:noVBand="1"/>
      </w:tblPr>
      <w:tblGrid>
        <w:gridCol w:w="4760"/>
        <w:gridCol w:w="4588"/>
      </w:tblGrid>
      <w:tr w:rsidR="002C01A8" w14:paraId="4E5FAEA5" w14:textId="77777777">
        <w:trPr>
          <w:trHeight w:val="36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C36DFE" w14:textId="77777777" w:rsidR="002C01A8" w:rsidRDefault="00A355B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Reporting Executive Compensation</w:t>
            </w:r>
            <w:r>
              <w:t xml:space="preserve"> </w:t>
            </w:r>
          </w:p>
        </w:tc>
      </w:tr>
      <w:tr w:rsidR="002C01A8" w14:paraId="659278F9" w14:textId="77777777">
        <w:trPr>
          <w:trHeight w:val="150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D612" w14:textId="317353C4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In the preceding fiscal year </w:t>
            </w:r>
            <w:r w:rsidRPr="00FB4269">
              <w:t>did the sub</w:t>
            </w:r>
            <w:r w:rsidR="00FF09A3" w:rsidRPr="00FB4269">
              <w:t>recipient</w:t>
            </w:r>
            <w:r>
              <w:t xml:space="preserve"> receive 80 percent or more of its annual gross revenue in Federal awards?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3A1F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If no, then the 5 most highly compensated executives’ compensation is </w:t>
            </w:r>
            <w:r>
              <w:rPr>
                <w:b/>
                <w:u w:val="single" w:color="000000"/>
              </w:rPr>
              <w:t>not</w:t>
            </w:r>
            <w:r>
              <w:t xml:space="preserve"> required to be reported. </w:t>
            </w:r>
          </w:p>
        </w:tc>
      </w:tr>
      <w:tr w:rsidR="002C01A8" w14:paraId="7DD77FD0" w14:textId="77777777">
        <w:trPr>
          <w:trHeight w:val="73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CDC3" w14:textId="77777777" w:rsidR="002C01A8" w:rsidRDefault="00A355B3">
            <w:pPr>
              <w:spacing w:after="0" w:line="259" w:lineRule="auto"/>
              <w:ind w:left="0" w:right="56" w:firstLine="0"/>
              <w:jc w:val="center"/>
            </w:pPr>
            <w:r>
              <w:t xml:space="preserve">If yes, then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7B7E" w14:textId="77777777" w:rsidR="002C01A8" w:rsidRDefault="00A355B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2C01A8" w14:paraId="254C0331" w14:textId="77777777">
        <w:trPr>
          <w:trHeight w:val="139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561B" w14:textId="7CAA9B6C" w:rsidR="002C01A8" w:rsidRDefault="00A355B3">
            <w:pPr>
              <w:spacing w:after="0" w:line="240" w:lineRule="auto"/>
              <w:ind w:left="0" w:firstLine="0"/>
              <w:jc w:val="center"/>
            </w:pPr>
            <w:r>
              <w:lastRenderedPageBreak/>
              <w:t xml:space="preserve">In the preceding fiscal year did the </w:t>
            </w:r>
            <w:r w:rsidRPr="00FB4269">
              <w:t>sub</w:t>
            </w:r>
            <w:r w:rsidR="00FF09A3" w:rsidRPr="00FB4269">
              <w:t>recipient</w:t>
            </w:r>
            <w:r>
              <w:t xml:space="preserve"> receive $25 million or more in annual gross </w:t>
            </w:r>
          </w:p>
          <w:p w14:paraId="31A73A47" w14:textId="03EBF18E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revenues (in aggregate) from Federal procurement contracts (and subcontracts) </w:t>
            </w:r>
            <w:r>
              <w:rPr>
                <w:b/>
              </w:rPr>
              <w:t>and/or</w:t>
            </w:r>
            <w:r>
              <w:t xml:space="preserve"> Federal </w:t>
            </w:r>
            <w:r w:rsidR="00FF09A3">
              <w:t>awards</w:t>
            </w:r>
            <w:r>
              <w:t xml:space="preserve"> (subawards) that are subject to the Transparency Act?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81EB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If no, then the 5 most highly compensated executives’ compensation is </w:t>
            </w:r>
            <w:r>
              <w:rPr>
                <w:b/>
                <w:u w:val="single" w:color="000000"/>
              </w:rPr>
              <w:t>not</w:t>
            </w:r>
            <w:r>
              <w:t xml:space="preserve"> required to be reported.  </w:t>
            </w:r>
          </w:p>
        </w:tc>
      </w:tr>
      <w:tr w:rsidR="002C01A8" w14:paraId="4B033578" w14:textId="77777777">
        <w:trPr>
          <w:trHeight w:val="73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3B26" w14:textId="77777777" w:rsidR="002C01A8" w:rsidRDefault="00A355B3">
            <w:pPr>
              <w:spacing w:after="0" w:line="259" w:lineRule="auto"/>
              <w:ind w:left="0" w:right="56" w:firstLine="0"/>
              <w:jc w:val="center"/>
            </w:pPr>
            <w:r>
              <w:t xml:space="preserve">If yes, then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2488" w14:textId="77777777" w:rsidR="002C01A8" w:rsidRDefault="00A355B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2C01A8" w14:paraId="2E9FFE91" w14:textId="77777777">
        <w:trPr>
          <w:trHeight w:val="2539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20C" w14:textId="77777777" w:rsidR="002C01A8" w:rsidRDefault="00A355B3">
            <w:pPr>
              <w:spacing w:after="1" w:line="239" w:lineRule="auto"/>
              <w:ind w:left="0" w:firstLine="0"/>
              <w:jc w:val="center"/>
            </w:pPr>
            <w:r>
              <w:t xml:space="preserve">Does the public have access to information about the compensation of the executives through </w:t>
            </w:r>
          </w:p>
          <w:p w14:paraId="5951FDF3" w14:textId="77777777" w:rsidR="002C01A8" w:rsidRDefault="00A355B3">
            <w:pPr>
              <w:spacing w:after="0" w:line="259" w:lineRule="auto"/>
              <w:ind w:left="0" w:right="57" w:firstLine="0"/>
              <w:jc w:val="center"/>
            </w:pPr>
            <w:r>
              <w:t xml:space="preserve">periodic reports filed under section 13(a) or 15(d) </w:t>
            </w:r>
          </w:p>
          <w:p w14:paraId="39883A14" w14:textId="77777777" w:rsidR="002C01A8" w:rsidRDefault="00A355B3">
            <w:pPr>
              <w:spacing w:after="1" w:line="239" w:lineRule="auto"/>
              <w:ind w:left="0" w:firstLine="0"/>
              <w:jc w:val="center"/>
            </w:pPr>
            <w:r>
              <w:t xml:space="preserve">of the Securities Exchange Act of 1934 or section 6104 of the Internal Revenue Code of 1986? </w:t>
            </w:r>
          </w:p>
          <w:p w14:paraId="3A28F333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5006AE83" w14:textId="77777777" w:rsidR="002C01A8" w:rsidRDefault="00A355B3">
            <w:pPr>
              <w:spacing w:after="1" w:line="239" w:lineRule="auto"/>
              <w:ind w:left="0" w:firstLine="0"/>
              <w:jc w:val="center"/>
            </w:pPr>
            <w:r>
              <w:t xml:space="preserve">(To determine if the public has access to the compensation information, see the U.S. Security </w:t>
            </w:r>
          </w:p>
          <w:p w14:paraId="2B61C044" w14:textId="77777777" w:rsidR="002C01A8" w:rsidRDefault="00A355B3">
            <w:pPr>
              <w:spacing w:after="0" w:line="259" w:lineRule="auto"/>
              <w:ind w:left="0" w:right="58" w:firstLine="0"/>
              <w:jc w:val="center"/>
            </w:pPr>
            <w:r>
              <w:t xml:space="preserve">and Exchange Commission total compensation </w:t>
            </w:r>
          </w:p>
          <w:p w14:paraId="6019C106" w14:textId="77777777" w:rsidR="002C01A8" w:rsidRDefault="00A355B3">
            <w:pPr>
              <w:spacing w:after="0" w:line="259" w:lineRule="auto"/>
              <w:ind w:left="0" w:right="57" w:firstLine="0"/>
              <w:jc w:val="center"/>
            </w:pPr>
            <w:r>
              <w:t xml:space="preserve">filings </w:t>
            </w:r>
          </w:p>
          <w:p w14:paraId="570EF897" w14:textId="77777777" w:rsidR="002C01A8" w:rsidRDefault="00A355B3">
            <w:pPr>
              <w:spacing w:after="0" w:line="259" w:lineRule="auto"/>
              <w:ind w:left="0" w:right="56" w:firstLine="0"/>
              <w:jc w:val="center"/>
            </w:pPr>
            <w:r>
              <w:t xml:space="preserve">at </w:t>
            </w:r>
            <w:r>
              <w:rPr>
                <w:i/>
              </w:rPr>
              <w:t>http://www.sec.gov/answers/execomp.htm.</w:t>
            </w:r>
            <w:r>
              <w:t xml:space="preserve">)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AAE5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If yes, then the 5 most highly compensated executives’ compensation is </w:t>
            </w:r>
            <w:r>
              <w:rPr>
                <w:b/>
                <w:u w:val="single" w:color="000000"/>
              </w:rPr>
              <w:t>not</w:t>
            </w:r>
            <w:r>
              <w:t xml:space="preserve"> required to be reported. </w:t>
            </w:r>
          </w:p>
        </w:tc>
      </w:tr>
      <w:tr w:rsidR="002C01A8" w14:paraId="601AD618" w14:textId="77777777">
        <w:trPr>
          <w:trHeight w:val="73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BF64" w14:textId="77777777" w:rsidR="002C01A8" w:rsidRDefault="00A355B3">
            <w:pPr>
              <w:spacing w:after="0" w:line="259" w:lineRule="auto"/>
              <w:ind w:left="0" w:right="57" w:firstLine="0"/>
              <w:jc w:val="center"/>
            </w:pPr>
            <w:r>
              <w:t xml:space="preserve">If no, then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3A71" w14:textId="77777777" w:rsidR="002C01A8" w:rsidRDefault="00A355B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2C01A8" w14:paraId="788D9513" w14:textId="77777777">
        <w:trPr>
          <w:trHeight w:val="73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36C8" w14:textId="77777777" w:rsidR="002C01A8" w:rsidRDefault="00A355B3">
            <w:pPr>
              <w:spacing w:after="0" w:line="259" w:lineRule="auto"/>
              <w:ind w:left="0" w:firstLine="0"/>
              <w:jc w:val="center"/>
            </w:pPr>
            <w:r>
              <w:t xml:space="preserve">You are required to report the compensation of the entity’s five most highly compensated executives. 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44E3" w14:textId="77777777" w:rsidR="002C01A8" w:rsidRDefault="00A355B3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14:paraId="6A9CF2AF" w14:textId="77777777" w:rsidR="002C01A8" w:rsidRDefault="00A355B3">
      <w:pPr>
        <w:spacing w:after="214" w:line="259" w:lineRule="auto"/>
        <w:ind w:left="77" w:firstLine="0"/>
        <w:jc w:val="center"/>
      </w:pPr>
      <w:r>
        <w:t xml:space="preserve"> </w:t>
      </w:r>
    </w:p>
    <w:p w14:paraId="22171C49" w14:textId="12CBAFFB" w:rsidR="002C01A8" w:rsidRDefault="00A355B3">
      <w:pPr>
        <w:ind w:left="2977"/>
      </w:pPr>
      <w:r>
        <w:t>Please contact the Office of the State Controller/Internal Audit Division if you are still unsure of the reporting requirem</w:t>
      </w:r>
      <w:r w:rsidRPr="00FB4269">
        <w:t>ents.</w:t>
      </w:r>
      <w:r w:rsidR="00082604" w:rsidRPr="00FB4269">
        <w:t xml:space="preserve">  </w:t>
      </w:r>
      <w:hyperlink r:id="rId9" w:history="1">
        <w:r w:rsidR="00082604" w:rsidRPr="00FB4269">
          <w:rPr>
            <w:rStyle w:val="Hyperlink"/>
            <w:szCs w:val="20"/>
          </w:rPr>
          <w:t>InternalAudit.OSC@maine.gov</w:t>
        </w:r>
      </w:hyperlink>
    </w:p>
    <w:sectPr w:rsidR="002C01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47" w:right="1461" w:bottom="1104" w:left="1440" w:header="7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776F" w14:textId="77777777" w:rsidR="00A355B3" w:rsidRDefault="00A355B3">
      <w:pPr>
        <w:spacing w:after="0" w:line="240" w:lineRule="auto"/>
      </w:pPr>
      <w:r>
        <w:separator/>
      </w:r>
    </w:p>
  </w:endnote>
  <w:endnote w:type="continuationSeparator" w:id="0">
    <w:p w14:paraId="3213ABB4" w14:textId="77777777" w:rsidR="00A355B3" w:rsidRDefault="00A3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9E83" w14:textId="77777777" w:rsidR="002C01A8" w:rsidRDefault="00A355B3">
    <w:pPr>
      <w:tabs>
        <w:tab w:val="right" w:pos="9339"/>
      </w:tabs>
      <w:spacing w:after="0" w:line="259" w:lineRule="auto"/>
      <w:ind w:left="0" w:right="-20" w:firstLine="0"/>
    </w:pPr>
    <w:r>
      <w:rPr>
        <w:rFonts w:ascii="Calibri" w:eastAsia="Calibri" w:hAnsi="Calibri" w:cs="Calibri"/>
        <w:sz w:val="22"/>
      </w:rPr>
      <w:t xml:space="preserve">Version Date: 4/15/2021 </w:t>
    </w:r>
    <w:r>
      <w:rPr>
        <w:rFonts w:ascii="Calibri" w:eastAsia="Calibri" w:hAnsi="Calibri" w:cs="Calibri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sz w:val="22"/>
        </w:rPr>
        <w:t>3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4D13" w14:textId="36653A65" w:rsidR="002C01A8" w:rsidRDefault="00A355B3">
    <w:pPr>
      <w:tabs>
        <w:tab w:val="right" w:pos="9339"/>
      </w:tabs>
      <w:spacing w:after="0" w:line="259" w:lineRule="auto"/>
      <w:ind w:left="0" w:right="-20" w:firstLine="0"/>
    </w:pPr>
    <w:r>
      <w:rPr>
        <w:rFonts w:ascii="Calibri" w:eastAsia="Calibri" w:hAnsi="Calibri" w:cs="Calibri"/>
        <w:sz w:val="22"/>
      </w:rPr>
      <w:t xml:space="preserve">Version Date: </w:t>
    </w:r>
    <w:r w:rsidR="007E2A10">
      <w:rPr>
        <w:rFonts w:ascii="Calibri" w:eastAsia="Calibri" w:hAnsi="Calibri" w:cs="Calibri"/>
        <w:sz w:val="22"/>
      </w:rPr>
      <w:t>7/17/2025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sz w:val="22"/>
        </w:rPr>
        <w:t>3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B583" w14:textId="77777777" w:rsidR="002C01A8" w:rsidRDefault="00A355B3">
    <w:pPr>
      <w:tabs>
        <w:tab w:val="right" w:pos="9339"/>
      </w:tabs>
      <w:spacing w:after="0" w:line="259" w:lineRule="auto"/>
      <w:ind w:left="0" w:right="-20" w:firstLine="0"/>
    </w:pPr>
    <w:r>
      <w:rPr>
        <w:rFonts w:ascii="Calibri" w:eastAsia="Calibri" w:hAnsi="Calibri" w:cs="Calibri"/>
        <w:sz w:val="22"/>
      </w:rPr>
      <w:t xml:space="preserve">Version Date: 4/15/2021 </w:t>
    </w:r>
    <w:r>
      <w:rPr>
        <w:rFonts w:ascii="Calibri" w:eastAsia="Calibri" w:hAnsi="Calibri" w:cs="Calibri"/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sz w:val="22"/>
        </w:rPr>
        <w:t>3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320E" w14:textId="77777777" w:rsidR="00A355B3" w:rsidRDefault="00A355B3">
      <w:pPr>
        <w:spacing w:after="0" w:line="240" w:lineRule="auto"/>
      </w:pPr>
      <w:r>
        <w:separator/>
      </w:r>
    </w:p>
  </w:footnote>
  <w:footnote w:type="continuationSeparator" w:id="0">
    <w:p w14:paraId="322C5423" w14:textId="77777777" w:rsidR="00A355B3" w:rsidRDefault="00A3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C4C4" w14:textId="77777777" w:rsidR="002C01A8" w:rsidRDefault="00A355B3">
    <w:pPr>
      <w:spacing w:after="58" w:line="240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54E9AE" wp14:editId="2995A9E1">
              <wp:simplePos x="0" y="0"/>
              <wp:positionH relativeFrom="page">
                <wp:posOffset>895350</wp:posOffset>
              </wp:positionH>
              <wp:positionV relativeFrom="page">
                <wp:posOffset>877824</wp:posOffset>
              </wp:positionV>
              <wp:extent cx="5981700" cy="56388"/>
              <wp:effectExtent l="0" t="0" r="0" b="0"/>
              <wp:wrapSquare wrapText="bothSides"/>
              <wp:docPr id="4135" name="Group 4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700" cy="56388"/>
                        <a:chOff x="0" y="0"/>
                        <a:chExt cx="5981700" cy="56388"/>
                      </a:xfrm>
                    </wpg:grpSpPr>
                    <wps:wsp>
                      <wps:cNvPr id="4325" name="Shape 4325"/>
                      <wps:cNvSpPr/>
                      <wps:spPr>
                        <a:xfrm>
                          <a:off x="0" y="18288"/>
                          <a:ext cx="59817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381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0" y="0"/>
                          <a:ext cx="5981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9144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5" style="width:471pt;height:4.44pt;position:absolute;mso-position-horizontal-relative:page;mso-position-horizontal:absolute;margin-left:70.5pt;mso-position-vertical-relative:page;margin-top:69.12pt;" coordsize="59817,563">
              <v:shape id="Shape 4327" style="position:absolute;width:59817;height:381;left:0;top:182;" coordsize="5981700,38100" path="m0,0l5981700,0l5981700,38100l0,38100l0,0">
                <v:stroke weight="0pt" endcap="flat" joinstyle="miter" miterlimit="10" on="false" color="#000000" opacity="0"/>
                <v:fill on="true" color="#000000"/>
              </v:shape>
              <v:shape id="Shape 4328" style="position:absolute;width:59817;height:91;left:0;top:0;" coordsize="5981700,9144" path="m0,0l5981700,0l598170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8"/>
      </w:rPr>
      <w:t xml:space="preserve">Federal Funding Accountability and Transparency Act (FFATA) Subaward and Executive Compensation Decision Tree </w:t>
    </w:r>
  </w:p>
  <w:p w14:paraId="2E6C762F" w14:textId="77777777" w:rsidR="002C01A8" w:rsidRDefault="00A355B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C02B" w14:textId="77777777" w:rsidR="002C01A8" w:rsidRDefault="00A355B3">
    <w:pPr>
      <w:spacing w:after="58" w:line="240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2E544" wp14:editId="1D425B50">
              <wp:simplePos x="0" y="0"/>
              <wp:positionH relativeFrom="page">
                <wp:posOffset>895350</wp:posOffset>
              </wp:positionH>
              <wp:positionV relativeFrom="page">
                <wp:posOffset>877824</wp:posOffset>
              </wp:positionV>
              <wp:extent cx="5981700" cy="56388"/>
              <wp:effectExtent l="0" t="0" r="0" b="0"/>
              <wp:wrapSquare wrapText="bothSides"/>
              <wp:docPr id="4101" name="Group 4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700" cy="56388"/>
                        <a:chOff x="0" y="0"/>
                        <a:chExt cx="5981700" cy="56388"/>
                      </a:xfrm>
                    </wpg:grpSpPr>
                    <wps:wsp>
                      <wps:cNvPr id="4321" name="Shape 4321"/>
                      <wps:cNvSpPr/>
                      <wps:spPr>
                        <a:xfrm>
                          <a:off x="0" y="18288"/>
                          <a:ext cx="59817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381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2" name="Shape 4322"/>
                      <wps:cNvSpPr/>
                      <wps:spPr>
                        <a:xfrm>
                          <a:off x="0" y="0"/>
                          <a:ext cx="5981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9144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01" style="width:471pt;height:4.44pt;position:absolute;mso-position-horizontal-relative:page;mso-position-horizontal:absolute;margin-left:70.5pt;mso-position-vertical-relative:page;margin-top:69.12pt;" coordsize="59817,563">
              <v:shape id="Shape 4323" style="position:absolute;width:59817;height:381;left:0;top:182;" coordsize="5981700,38100" path="m0,0l5981700,0l5981700,38100l0,38100l0,0">
                <v:stroke weight="0pt" endcap="flat" joinstyle="miter" miterlimit="10" on="false" color="#000000" opacity="0"/>
                <v:fill on="true" color="#000000"/>
              </v:shape>
              <v:shape id="Shape 4324" style="position:absolute;width:59817;height:91;left:0;top:0;" coordsize="5981700,9144" path="m0,0l5981700,0l598170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8"/>
      </w:rPr>
      <w:t xml:space="preserve">Federal Funding Accountability and Transparency Act (FFATA) Subaward and Executive Compensation Decision Tree </w:t>
    </w:r>
  </w:p>
  <w:p w14:paraId="69EB2D8D" w14:textId="77777777" w:rsidR="002C01A8" w:rsidRDefault="00A355B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B344" w14:textId="77777777" w:rsidR="002C01A8" w:rsidRDefault="00A355B3">
    <w:pPr>
      <w:spacing w:after="58" w:line="240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B5DE69" wp14:editId="7D222D85">
              <wp:simplePos x="0" y="0"/>
              <wp:positionH relativeFrom="page">
                <wp:posOffset>895350</wp:posOffset>
              </wp:positionH>
              <wp:positionV relativeFrom="page">
                <wp:posOffset>877824</wp:posOffset>
              </wp:positionV>
              <wp:extent cx="5981700" cy="56388"/>
              <wp:effectExtent l="0" t="0" r="0" b="0"/>
              <wp:wrapSquare wrapText="bothSides"/>
              <wp:docPr id="4067" name="Group 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700" cy="56388"/>
                        <a:chOff x="0" y="0"/>
                        <a:chExt cx="5981700" cy="56388"/>
                      </a:xfrm>
                    </wpg:grpSpPr>
                    <wps:wsp>
                      <wps:cNvPr id="4317" name="Shape 4317"/>
                      <wps:cNvSpPr/>
                      <wps:spPr>
                        <a:xfrm>
                          <a:off x="0" y="18288"/>
                          <a:ext cx="59817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381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8" name="Shape 4318"/>
                      <wps:cNvSpPr/>
                      <wps:spPr>
                        <a:xfrm>
                          <a:off x="0" y="0"/>
                          <a:ext cx="59817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700" h="9144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  <a:lnTo>
                                <a:pt x="59817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7" style="width:471pt;height:4.44pt;position:absolute;mso-position-horizontal-relative:page;mso-position-horizontal:absolute;margin-left:70.5pt;mso-position-vertical-relative:page;margin-top:69.12pt;" coordsize="59817,563">
              <v:shape id="Shape 4319" style="position:absolute;width:59817;height:381;left:0;top:182;" coordsize="5981700,38100" path="m0,0l5981700,0l5981700,38100l0,38100l0,0">
                <v:stroke weight="0pt" endcap="flat" joinstyle="miter" miterlimit="10" on="false" color="#000000" opacity="0"/>
                <v:fill on="true" color="#000000"/>
              </v:shape>
              <v:shape id="Shape 4320" style="position:absolute;width:59817;height:91;left:0;top:0;" coordsize="5981700,9144" path="m0,0l5981700,0l598170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8"/>
      </w:rPr>
      <w:t xml:space="preserve">Federal Funding Accountability and Transparency Act (FFATA) Subaward and Executive Compensation Decision Tree </w:t>
    </w:r>
  </w:p>
  <w:p w14:paraId="20090F26" w14:textId="77777777" w:rsidR="002C01A8" w:rsidRDefault="00A355B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6229"/>
    <w:multiLevelType w:val="hybridMultilevel"/>
    <w:tmpl w:val="C02CE6FC"/>
    <w:lvl w:ilvl="0" w:tplc="69ECEA3C">
      <w:start w:val="1"/>
      <w:numFmt w:val="lowerLetter"/>
      <w:lvlText w:val="(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944491B"/>
    <w:multiLevelType w:val="hybridMultilevel"/>
    <w:tmpl w:val="84F08FAE"/>
    <w:lvl w:ilvl="0" w:tplc="67F0BA3E">
      <w:start w:val="1"/>
      <w:numFmt w:val="decimal"/>
      <w:lvlText w:val="(%1)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A6A62">
      <w:start w:val="1"/>
      <w:numFmt w:val="lowerLetter"/>
      <w:lvlText w:val="%2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6C89BE">
      <w:start w:val="1"/>
      <w:numFmt w:val="lowerRoman"/>
      <w:lvlText w:val="%3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C612A">
      <w:start w:val="1"/>
      <w:numFmt w:val="decimal"/>
      <w:lvlText w:val="%4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B6556A">
      <w:start w:val="1"/>
      <w:numFmt w:val="lowerLetter"/>
      <w:lvlText w:val="%5"/>
      <w:lvlJc w:val="left"/>
      <w:pPr>
        <w:ind w:left="3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40F62">
      <w:start w:val="1"/>
      <w:numFmt w:val="lowerRoman"/>
      <w:lvlText w:val="%6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BAADBA">
      <w:start w:val="1"/>
      <w:numFmt w:val="decimal"/>
      <w:lvlText w:val="%7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C203E">
      <w:start w:val="1"/>
      <w:numFmt w:val="lowerLetter"/>
      <w:lvlText w:val="%8"/>
      <w:lvlJc w:val="left"/>
      <w:pPr>
        <w:ind w:left="5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6094E">
      <w:start w:val="1"/>
      <w:numFmt w:val="lowerRoman"/>
      <w:lvlText w:val="%9"/>
      <w:lvlJc w:val="left"/>
      <w:pPr>
        <w:ind w:left="6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5622D6"/>
    <w:multiLevelType w:val="hybridMultilevel"/>
    <w:tmpl w:val="56FC81A0"/>
    <w:lvl w:ilvl="0" w:tplc="54D6FFCC">
      <w:start w:val="1"/>
      <w:numFmt w:val="upperLetter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0E376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8710C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0F5F2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1EAEC6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1E48FA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2CFC30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82F1C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700A44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E15DCA"/>
    <w:multiLevelType w:val="hybridMultilevel"/>
    <w:tmpl w:val="A7B08B56"/>
    <w:lvl w:ilvl="0" w:tplc="D6809F30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DF06">
      <w:start w:val="1"/>
      <w:numFmt w:val="lowerLetter"/>
      <w:lvlText w:val="%2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80B81E">
      <w:start w:val="1"/>
      <w:numFmt w:val="lowerRoman"/>
      <w:lvlText w:val="%3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608414">
      <w:start w:val="1"/>
      <w:numFmt w:val="decimal"/>
      <w:lvlText w:val="%4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4F288">
      <w:start w:val="1"/>
      <w:numFmt w:val="lowerLetter"/>
      <w:lvlText w:val="%5"/>
      <w:lvlJc w:val="left"/>
      <w:pPr>
        <w:ind w:left="3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4620A0">
      <w:start w:val="1"/>
      <w:numFmt w:val="lowerRoman"/>
      <w:lvlText w:val="%6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03A66">
      <w:start w:val="1"/>
      <w:numFmt w:val="decimal"/>
      <w:lvlText w:val="%7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1318">
      <w:start w:val="1"/>
      <w:numFmt w:val="lowerLetter"/>
      <w:lvlText w:val="%8"/>
      <w:lvlJc w:val="left"/>
      <w:pPr>
        <w:ind w:left="5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86D66">
      <w:start w:val="1"/>
      <w:numFmt w:val="lowerRoman"/>
      <w:lvlText w:val="%9"/>
      <w:lvlJc w:val="left"/>
      <w:pPr>
        <w:ind w:left="6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1A2BCE"/>
    <w:multiLevelType w:val="hybridMultilevel"/>
    <w:tmpl w:val="9204347A"/>
    <w:lvl w:ilvl="0" w:tplc="9E583FA0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C8074">
      <w:start w:val="1"/>
      <w:numFmt w:val="lowerLetter"/>
      <w:lvlText w:val="%2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8E77E">
      <w:start w:val="1"/>
      <w:numFmt w:val="lowerRoman"/>
      <w:lvlText w:val="%3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E8FCE">
      <w:start w:val="1"/>
      <w:numFmt w:val="decimal"/>
      <w:lvlText w:val="%4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6569C">
      <w:start w:val="1"/>
      <w:numFmt w:val="lowerLetter"/>
      <w:lvlText w:val="%5"/>
      <w:lvlJc w:val="left"/>
      <w:pPr>
        <w:ind w:left="3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0A9AA">
      <w:start w:val="1"/>
      <w:numFmt w:val="lowerRoman"/>
      <w:lvlText w:val="%6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40912">
      <w:start w:val="1"/>
      <w:numFmt w:val="decimal"/>
      <w:lvlText w:val="%7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F2A352">
      <w:start w:val="1"/>
      <w:numFmt w:val="lowerLetter"/>
      <w:lvlText w:val="%8"/>
      <w:lvlJc w:val="left"/>
      <w:pPr>
        <w:ind w:left="5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EB3FC">
      <w:start w:val="1"/>
      <w:numFmt w:val="lowerRoman"/>
      <w:lvlText w:val="%9"/>
      <w:lvlJc w:val="left"/>
      <w:pPr>
        <w:ind w:left="6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860567">
    <w:abstractNumId w:val="2"/>
  </w:num>
  <w:num w:numId="2" w16cid:durableId="726223768">
    <w:abstractNumId w:val="4"/>
  </w:num>
  <w:num w:numId="3" w16cid:durableId="1543904772">
    <w:abstractNumId w:val="3"/>
  </w:num>
  <w:num w:numId="4" w16cid:durableId="402917181">
    <w:abstractNumId w:val="1"/>
  </w:num>
  <w:num w:numId="5" w16cid:durableId="188652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A8"/>
    <w:rsid w:val="00024526"/>
    <w:rsid w:val="00082604"/>
    <w:rsid w:val="000A22DB"/>
    <w:rsid w:val="001C3E9A"/>
    <w:rsid w:val="002C01A8"/>
    <w:rsid w:val="003B7132"/>
    <w:rsid w:val="003C74D5"/>
    <w:rsid w:val="004466ED"/>
    <w:rsid w:val="00665B2D"/>
    <w:rsid w:val="006B5D74"/>
    <w:rsid w:val="007E2A10"/>
    <w:rsid w:val="00A355B3"/>
    <w:rsid w:val="00A4368F"/>
    <w:rsid w:val="00F846E0"/>
    <w:rsid w:val="00FB4269"/>
    <w:rsid w:val="00FD7C62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CDCE8"/>
  <w15:docId w15:val="{7E76AD29-967B-4367-B8DD-912997D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8" w:lineRule="auto"/>
      <w:ind w:left="2648" w:hanging="2628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C3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ection-200.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2/section-200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lAudit.OSC@maine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John</dc:creator>
  <cp:keywords/>
  <cp:lastModifiedBy>Baker, John</cp:lastModifiedBy>
  <cp:revision>11</cp:revision>
  <dcterms:created xsi:type="dcterms:W3CDTF">2025-07-17T12:27:00Z</dcterms:created>
  <dcterms:modified xsi:type="dcterms:W3CDTF">2025-10-21T18:51:00Z</dcterms:modified>
</cp:coreProperties>
</file>